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6740" w14:textId="5C6B8E9B" w:rsidR="006F15F1" w:rsidRDefault="006F15F1" w:rsidP="006F15F1">
      <w:pPr>
        <w:pStyle w:val="Heading1"/>
        <w:rPr>
          <w:rFonts w:ascii="Calibri" w:hAnsi="Calibri" w:cs="Calibri"/>
          <w:b/>
          <w:bCs/>
          <w:color w:val="auto"/>
          <w:sz w:val="24"/>
          <w:szCs w:val="24"/>
        </w:rPr>
      </w:pPr>
      <w:r>
        <w:rPr>
          <w:rFonts w:ascii="Calibri" w:hAnsi="Calibri" w:cs="Calibri"/>
          <w:b/>
          <w:bCs/>
          <w:noProof/>
          <w:color w:val="auto"/>
          <w:sz w:val="24"/>
          <w:szCs w:val="24"/>
        </w:rPr>
        <w:drawing>
          <wp:anchor distT="0" distB="0" distL="114300" distR="114300" simplePos="0" relativeHeight="251658240" behindDoc="0" locked="0" layoutInCell="1" allowOverlap="1" wp14:anchorId="3D62068D" wp14:editId="43D44573">
            <wp:simplePos x="0" y="0"/>
            <wp:positionH relativeFrom="margin">
              <wp:align>center</wp:align>
            </wp:positionH>
            <wp:positionV relativeFrom="paragraph">
              <wp:posOffset>-488950</wp:posOffset>
            </wp:positionV>
            <wp:extent cx="2457865" cy="1022350"/>
            <wp:effectExtent l="0" t="0" r="0" b="6350"/>
            <wp:wrapNone/>
            <wp:docPr id="1562712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57865" cy="1022350"/>
                    </a:xfrm>
                    <a:prstGeom prst="rect">
                      <a:avLst/>
                    </a:prstGeom>
                    <a:noFill/>
                  </pic:spPr>
                </pic:pic>
              </a:graphicData>
            </a:graphic>
            <wp14:sizeRelH relativeFrom="margin">
              <wp14:pctWidth>0</wp14:pctWidth>
            </wp14:sizeRelH>
            <wp14:sizeRelV relativeFrom="margin">
              <wp14:pctHeight>0</wp14:pctHeight>
            </wp14:sizeRelV>
          </wp:anchor>
        </w:drawing>
      </w:r>
    </w:p>
    <w:p w14:paraId="3CD2B5A9" w14:textId="77777777" w:rsidR="006F15F1" w:rsidRDefault="006F15F1" w:rsidP="006F15F1">
      <w:pPr>
        <w:pStyle w:val="Heading1"/>
        <w:rPr>
          <w:rFonts w:ascii="Calibri" w:hAnsi="Calibri" w:cs="Calibri"/>
          <w:b/>
          <w:bCs/>
          <w:color w:val="auto"/>
          <w:sz w:val="24"/>
          <w:szCs w:val="24"/>
        </w:rPr>
      </w:pPr>
    </w:p>
    <w:p w14:paraId="499B77D1" w14:textId="555BC649" w:rsidR="006F15F1" w:rsidRPr="006F15F1" w:rsidRDefault="006F15F1" w:rsidP="006F15F1">
      <w:pPr>
        <w:pStyle w:val="Heading1"/>
        <w:rPr>
          <w:rFonts w:ascii="Calibri" w:hAnsi="Calibri" w:cs="Calibri"/>
          <w:b/>
          <w:bCs/>
          <w:color w:val="auto"/>
          <w:sz w:val="28"/>
          <w:szCs w:val="28"/>
        </w:rPr>
      </w:pPr>
      <w:r w:rsidRPr="006F15F1">
        <w:rPr>
          <w:rFonts w:ascii="Calibri" w:hAnsi="Calibri" w:cs="Calibri"/>
          <w:b/>
          <w:bCs/>
          <w:color w:val="auto"/>
          <w:sz w:val="28"/>
          <w:szCs w:val="28"/>
        </w:rPr>
        <w:t>Board Governance Policy: Open Meetings (KOMA/KORA)</w:t>
      </w:r>
    </w:p>
    <w:p w14:paraId="6C507706" w14:textId="77777777" w:rsidR="006F15F1" w:rsidRPr="006F15F1" w:rsidRDefault="006F15F1" w:rsidP="006F15F1">
      <w:pPr>
        <w:rPr>
          <w:rFonts w:ascii="Calibri" w:hAnsi="Calibri" w:cs="Calibri"/>
        </w:rPr>
      </w:pPr>
      <w:r w:rsidRPr="006F15F1">
        <w:rPr>
          <w:rFonts w:ascii="Calibri" w:hAnsi="Calibri" w:cs="Calibri"/>
        </w:rPr>
        <w:t>The</w:t>
      </w:r>
      <w:r w:rsidRPr="006F15F1">
        <w:rPr>
          <w:rFonts w:ascii="Calibri" w:hAnsi="Calibri" w:cs="Calibri"/>
          <w:sz w:val="28"/>
          <w:szCs w:val="28"/>
        </w:rPr>
        <w:t xml:space="preserve"> </w:t>
      </w:r>
      <w:r w:rsidRPr="006F15F1">
        <w:rPr>
          <w:rFonts w:ascii="Calibri" w:hAnsi="Calibri" w:cs="Calibri"/>
          <w:i/>
          <w:iCs/>
        </w:rPr>
        <w:t xml:space="preserve">[insert USD # ] </w:t>
      </w:r>
      <w:r w:rsidRPr="006F15F1">
        <w:rPr>
          <w:rFonts w:ascii="Calibri" w:hAnsi="Calibri" w:cs="Calibri"/>
        </w:rPr>
        <w:t xml:space="preserve">school board shall serve as the elected governing board for the district as a whole </w:t>
      </w:r>
    </w:p>
    <w:p w14:paraId="65F302CF" w14:textId="77777777" w:rsidR="006F15F1" w:rsidRPr="006F15F1" w:rsidRDefault="006F15F1" w:rsidP="006F15F1">
      <w:pPr>
        <w:rPr>
          <w:rFonts w:ascii="Calibri" w:hAnsi="Calibri" w:cs="Calibri"/>
          <w:i/>
          <w:iCs/>
        </w:rPr>
      </w:pPr>
      <w:r w:rsidRPr="006F15F1">
        <w:rPr>
          <w:rFonts w:ascii="Calibri" w:hAnsi="Calibri" w:cs="Calibri"/>
          <w:i/>
          <w:iCs/>
        </w:rPr>
        <w:t>Subcommittees or Subgroups of the Board:</w:t>
      </w:r>
    </w:p>
    <w:p w14:paraId="36BFB31D" w14:textId="77777777" w:rsidR="006F15F1" w:rsidRPr="006F15F1" w:rsidRDefault="006F15F1" w:rsidP="006F15F1">
      <w:pPr>
        <w:rPr>
          <w:rFonts w:ascii="Calibri" w:hAnsi="Calibri" w:cs="Calibri"/>
        </w:rPr>
      </w:pPr>
      <w:r w:rsidRPr="006F15F1">
        <w:rPr>
          <w:rFonts w:ascii="Calibri" w:hAnsi="Calibri" w:cs="Calibri"/>
        </w:rPr>
        <w:t xml:space="preserve">The board may appoint subcommittees, or subordinate groups of the board consisting of no more than three board members. </w:t>
      </w:r>
    </w:p>
    <w:p w14:paraId="7347394C" w14:textId="77777777" w:rsidR="006F15F1" w:rsidRPr="006F15F1" w:rsidRDefault="006F15F1" w:rsidP="006F15F1">
      <w:pPr>
        <w:rPr>
          <w:rFonts w:ascii="Calibri" w:hAnsi="Calibri" w:cs="Calibri"/>
        </w:rPr>
      </w:pPr>
      <w:r w:rsidRPr="006F15F1">
        <w:rPr>
          <w:rFonts w:ascii="Calibri" w:hAnsi="Calibri" w:cs="Calibri"/>
        </w:rPr>
        <w:t>The board shall designate the purpose and responsibilities of any subcommittees or subgroups it establishes. The board may dissolve any such subcommittee or subgroup when it determines that it is no longer necessary.</w:t>
      </w:r>
    </w:p>
    <w:p w14:paraId="0E6E09AE" w14:textId="77777777" w:rsidR="006F15F1" w:rsidRPr="006F15F1" w:rsidRDefault="006F15F1" w:rsidP="006F15F1">
      <w:pPr>
        <w:rPr>
          <w:rFonts w:ascii="Calibri" w:hAnsi="Calibri" w:cs="Calibri"/>
          <w:i/>
          <w:iCs/>
        </w:rPr>
      </w:pPr>
      <w:r w:rsidRPr="006F15F1">
        <w:rPr>
          <w:rFonts w:ascii="Calibri" w:hAnsi="Calibri" w:cs="Calibri"/>
          <w:i/>
          <w:iCs/>
        </w:rPr>
        <w:t xml:space="preserve">KOMA/KORA Requirements: </w:t>
      </w:r>
    </w:p>
    <w:p w14:paraId="2E760F6F" w14:textId="77777777" w:rsidR="006F15F1" w:rsidRPr="006F15F1" w:rsidRDefault="006F15F1" w:rsidP="006F15F1">
      <w:pPr>
        <w:rPr>
          <w:rFonts w:ascii="Calibri" w:hAnsi="Calibri" w:cs="Calibri"/>
        </w:rPr>
      </w:pPr>
      <w:r w:rsidRPr="006F15F1">
        <w:rPr>
          <w:rFonts w:ascii="Calibri" w:hAnsi="Calibri" w:cs="Calibri"/>
        </w:rPr>
        <w:t>The</w:t>
      </w:r>
      <w:r w:rsidRPr="006F15F1">
        <w:rPr>
          <w:rFonts w:ascii="Calibri" w:hAnsi="Calibri" w:cs="Calibri"/>
          <w:sz w:val="28"/>
          <w:szCs w:val="28"/>
        </w:rPr>
        <w:t xml:space="preserve"> </w:t>
      </w:r>
      <w:r w:rsidRPr="006F15F1">
        <w:rPr>
          <w:rFonts w:ascii="Calibri" w:hAnsi="Calibri" w:cs="Calibri"/>
          <w:i/>
          <w:iCs/>
        </w:rPr>
        <w:t>[insert USD # ] board</w:t>
      </w:r>
      <w:r w:rsidRPr="006F15F1">
        <w:rPr>
          <w:rFonts w:ascii="Calibri" w:hAnsi="Calibri" w:cs="Calibri"/>
        </w:rPr>
        <w:t xml:space="preserve"> and is subject to KS Open Meetings laws (KS </w:t>
      </w:r>
      <w:hyperlink r:id="rId5" w:history="1">
        <w:r w:rsidRPr="006F15F1">
          <w:rPr>
            <w:rStyle w:val="Hyperlink"/>
            <w:rFonts w:ascii="Calibri" w:hAnsi="Calibri" w:cs="Calibri"/>
          </w:rPr>
          <w:t>45-216</w:t>
        </w:r>
      </w:hyperlink>
      <w:r w:rsidRPr="006F15F1">
        <w:rPr>
          <w:rFonts w:ascii="Calibri" w:hAnsi="Calibri" w:cs="Calibri"/>
        </w:rPr>
        <w:t xml:space="preserve">; </w:t>
      </w:r>
      <w:hyperlink r:id="rId6" w:history="1">
        <w:r w:rsidRPr="006F15F1">
          <w:rPr>
            <w:rStyle w:val="Hyperlink"/>
            <w:rFonts w:ascii="Calibri" w:hAnsi="Calibri" w:cs="Calibri"/>
          </w:rPr>
          <w:t>75-4317</w:t>
        </w:r>
      </w:hyperlink>
      <w:r w:rsidRPr="006F15F1">
        <w:rPr>
          <w:rFonts w:ascii="Calibri" w:hAnsi="Calibri" w:cs="Calibri"/>
        </w:rPr>
        <w:t xml:space="preserve">). </w:t>
      </w:r>
    </w:p>
    <w:p w14:paraId="023AEA26" w14:textId="77777777" w:rsidR="006F15F1" w:rsidRPr="006F15F1" w:rsidRDefault="006F15F1" w:rsidP="006F15F1">
      <w:pPr>
        <w:rPr>
          <w:rFonts w:ascii="Calibri" w:hAnsi="Calibri" w:cs="Calibri"/>
        </w:rPr>
      </w:pPr>
      <w:r w:rsidRPr="006F15F1">
        <w:rPr>
          <w:rFonts w:ascii="Calibri" w:hAnsi="Calibri" w:cs="Calibri"/>
        </w:rPr>
        <w:t xml:space="preserve">Subcommittee or other subordinate groups of the board shall be subject to the requirements of state KORA/KOMA laws (KS </w:t>
      </w:r>
      <w:hyperlink r:id="rId7" w:history="1">
        <w:r w:rsidRPr="006F15F1">
          <w:rPr>
            <w:rStyle w:val="Hyperlink"/>
            <w:rFonts w:ascii="Calibri" w:hAnsi="Calibri" w:cs="Calibri"/>
          </w:rPr>
          <w:t>45-216</w:t>
        </w:r>
      </w:hyperlink>
      <w:r w:rsidRPr="006F15F1">
        <w:rPr>
          <w:rFonts w:ascii="Calibri" w:hAnsi="Calibri" w:cs="Calibri"/>
        </w:rPr>
        <w:t xml:space="preserve">; </w:t>
      </w:r>
      <w:hyperlink r:id="rId8" w:history="1">
        <w:r w:rsidRPr="006F15F1">
          <w:rPr>
            <w:rStyle w:val="Hyperlink"/>
            <w:rFonts w:ascii="Calibri" w:hAnsi="Calibri" w:cs="Calibri"/>
          </w:rPr>
          <w:t>75-4317</w:t>
        </w:r>
      </w:hyperlink>
      <w:r w:rsidRPr="006F15F1">
        <w:rPr>
          <w:rFonts w:ascii="Calibri" w:hAnsi="Calibri" w:cs="Calibri"/>
        </w:rPr>
        <w:t xml:space="preserve">). </w:t>
      </w:r>
    </w:p>
    <w:p w14:paraId="29355899" w14:textId="77777777" w:rsidR="006F15F1" w:rsidRPr="006F15F1" w:rsidRDefault="006F15F1" w:rsidP="006F15F1">
      <w:pPr>
        <w:rPr>
          <w:rFonts w:ascii="Calibri" w:hAnsi="Calibri" w:cs="Calibri"/>
        </w:rPr>
      </w:pPr>
      <w:r w:rsidRPr="006F15F1">
        <w:rPr>
          <w:rFonts w:ascii="Calibri" w:hAnsi="Calibri" w:cs="Calibri"/>
        </w:rPr>
        <w:t>If the</w:t>
      </w:r>
      <w:r w:rsidRPr="006F15F1">
        <w:rPr>
          <w:rFonts w:ascii="Calibri" w:hAnsi="Calibri" w:cs="Calibri"/>
          <w:sz w:val="28"/>
          <w:szCs w:val="28"/>
        </w:rPr>
        <w:t xml:space="preserve"> </w:t>
      </w:r>
      <w:r w:rsidRPr="006F15F1">
        <w:rPr>
          <w:rFonts w:ascii="Calibri" w:hAnsi="Calibri" w:cs="Calibri"/>
          <w:i/>
          <w:iCs/>
        </w:rPr>
        <w:t>[insert USD # ] board</w:t>
      </w:r>
      <w:r w:rsidRPr="006F15F1">
        <w:rPr>
          <w:rFonts w:ascii="Calibri" w:hAnsi="Calibri" w:cs="Calibri"/>
        </w:rPr>
        <w:t xml:space="preserve"> voluntarily (live streaming is not required) elects to live stream their meeting on television, the internet or any other medium, the board shall ensure that all aspects of the open meeting are available through the selected medium for the public to observe. An unintentional technological failure or an action taken by the provider of the selected medium that disrupts or prevents such live stream shall not constitute a violation of this subsection. </w:t>
      </w:r>
    </w:p>
    <w:p w14:paraId="5E194099" w14:textId="77777777" w:rsidR="006F15F1" w:rsidRDefault="006F15F1" w:rsidP="006F15F1">
      <w:pPr>
        <w:rPr>
          <w:rFonts w:ascii="Calibri" w:hAnsi="Calibri" w:cs="Calibri"/>
          <w:b/>
          <w:bCs/>
          <w:sz w:val="20"/>
          <w:szCs w:val="20"/>
        </w:rPr>
      </w:pPr>
    </w:p>
    <w:p w14:paraId="7E94A02D" w14:textId="41791B4D" w:rsidR="006F15F1" w:rsidRPr="00564576" w:rsidRDefault="006F15F1" w:rsidP="006F15F1">
      <w:pPr>
        <w:rPr>
          <w:rFonts w:ascii="Calibri" w:hAnsi="Calibri" w:cs="Calibri"/>
          <w:b/>
          <w:bCs/>
          <w:sz w:val="20"/>
          <w:szCs w:val="20"/>
        </w:rPr>
      </w:pPr>
      <w:r w:rsidRPr="00564576">
        <w:rPr>
          <w:rFonts w:ascii="Calibri" w:hAnsi="Calibri" w:cs="Calibri"/>
          <w:b/>
          <w:bCs/>
          <w:sz w:val="20"/>
          <w:szCs w:val="20"/>
        </w:rPr>
        <w:t>Analysis of this Policy:</w:t>
      </w:r>
    </w:p>
    <w:p w14:paraId="26D1D0D7" w14:textId="77777777" w:rsidR="006F15F1" w:rsidRPr="00564576" w:rsidRDefault="006F15F1" w:rsidP="006F15F1">
      <w:pPr>
        <w:rPr>
          <w:sz w:val="20"/>
          <w:szCs w:val="20"/>
        </w:rPr>
      </w:pPr>
      <w:r w:rsidRPr="00564576">
        <w:rPr>
          <w:sz w:val="20"/>
          <w:szCs w:val="20"/>
        </w:rPr>
        <w:t xml:space="preserve">Kansas Attorney General’s Office: </w:t>
      </w:r>
      <w:hyperlink r:id="rId9" w:history="1">
        <w:r w:rsidRPr="00564576">
          <w:rPr>
            <w:rStyle w:val="Hyperlink"/>
            <w:rFonts w:ascii="Calibri" w:hAnsi="Calibri" w:cs="Calibri"/>
            <w:sz w:val="20"/>
            <w:szCs w:val="20"/>
          </w:rPr>
          <w:t>A-Citizens-Guide-to-Open-Records.pdf</w:t>
        </w:r>
      </w:hyperlink>
    </w:p>
    <w:p w14:paraId="5A45908F" w14:textId="77777777" w:rsidR="006F15F1" w:rsidRPr="00564576" w:rsidRDefault="006F15F1" w:rsidP="006F15F1">
      <w:pPr>
        <w:rPr>
          <w:rFonts w:ascii="Calibri" w:hAnsi="Calibri" w:cs="Calibri"/>
          <w:sz w:val="20"/>
          <w:szCs w:val="20"/>
        </w:rPr>
      </w:pPr>
      <w:r w:rsidRPr="00564576">
        <w:rPr>
          <w:rFonts w:ascii="Calibri" w:hAnsi="Calibri" w:cs="Calibri"/>
          <w:sz w:val="20"/>
          <w:szCs w:val="20"/>
        </w:rPr>
        <w:t xml:space="preserve">KSBRC Analysis: </w:t>
      </w:r>
      <w:hyperlink r:id="rId10" w:history="1">
        <w:r w:rsidRPr="00563785">
          <w:rPr>
            <w:rStyle w:val="Hyperlink"/>
            <w:rFonts w:ascii="Calibri" w:hAnsi="Calibri" w:cs="Calibri"/>
            <w:sz w:val="20"/>
            <w:szCs w:val="20"/>
          </w:rPr>
          <w:t>KSBRC-Policy-Analysis-KORA-KOMA-update-7.10.pdf</w:t>
        </w:r>
      </w:hyperlink>
    </w:p>
    <w:p w14:paraId="799AC9E7" w14:textId="77777777" w:rsidR="006F15F1" w:rsidRDefault="006F15F1"/>
    <w:sectPr w:rsidR="006F1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F1"/>
    <w:rsid w:val="006F15F1"/>
    <w:rsid w:val="00D14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753AB6"/>
  <w15:chartTrackingRefBased/>
  <w15:docId w15:val="{7F4D558E-7447-48A1-8CAC-18ED2D69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5F1"/>
  </w:style>
  <w:style w:type="paragraph" w:styleId="Heading1">
    <w:name w:val="heading 1"/>
    <w:basedOn w:val="Normal"/>
    <w:next w:val="Normal"/>
    <w:link w:val="Heading1Char"/>
    <w:uiPriority w:val="9"/>
    <w:qFormat/>
    <w:rsid w:val="006F1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5F1"/>
    <w:rPr>
      <w:rFonts w:eastAsiaTheme="majorEastAsia" w:cstheme="majorBidi"/>
      <w:color w:val="272727" w:themeColor="text1" w:themeTint="D8"/>
    </w:rPr>
  </w:style>
  <w:style w:type="paragraph" w:styleId="Title">
    <w:name w:val="Title"/>
    <w:basedOn w:val="Normal"/>
    <w:next w:val="Normal"/>
    <w:link w:val="TitleChar"/>
    <w:uiPriority w:val="10"/>
    <w:qFormat/>
    <w:rsid w:val="006F1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5F1"/>
    <w:pPr>
      <w:spacing w:before="160"/>
      <w:jc w:val="center"/>
    </w:pPr>
    <w:rPr>
      <w:i/>
      <w:iCs/>
      <w:color w:val="404040" w:themeColor="text1" w:themeTint="BF"/>
    </w:rPr>
  </w:style>
  <w:style w:type="character" w:customStyle="1" w:styleId="QuoteChar">
    <w:name w:val="Quote Char"/>
    <w:basedOn w:val="DefaultParagraphFont"/>
    <w:link w:val="Quote"/>
    <w:uiPriority w:val="29"/>
    <w:rsid w:val="006F15F1"/>
    <w:rPr>
      <w:i/>
      <w:iCs/>
      <w:color w:val="404040" w:themeColor="text1" w:themeTint="BF"/>
    </w:rPr>
  </w:style>
  <w:style w:type="paragraph" w:styleId="ListParagraph">
    <w:name w:val="List Paragraph"/>
    <w:basedOn w:val="Normal"/>
    <w:uiPriority w:val="34"/>
    <w:qFormat/>
    <w:rsid w:val="006F15F1"/>
    <w:pPr>
      <w:ind w:left="720"/>
      <w:contextualSpacing/>
    </w:pPr>
  </w:style>
  <w:style w:type="character" w:styleId="IntenseEmphasis">
    <w:name w:val="Intense Emphasis"/>
    <w:basedOn w:val="DefaultParagraphFont"/>
    <w:uiPriority w:val="21"/>
    <w:qFormat/>
    <w:rsid w:val="006F15F1"/>
    <w:rPr>
      <w:i/>
      <w:iCs/>
      <w:color w:val="0F4761" w:themeColor="accent1" w:themeShade="BF"/>
    </w:rPr>
  </w:style>
  <w:style w:type="paragraph" w:styleId="IntenseQuote">
    <w:name w:val="Intense Quote"/>
    <w:basedOn w:val="Normal"/>
    <w:next w:val="Normal"/>
    <w:link w:val="IntenseQuoteChar"/>
    <w:uiPriority w:val="30"/>
    <w:qFormat/>
    <w:rsid w:val="006F1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5F1"/>
    <w:rPr>
      <w:i/>
      <w:iCs/>
      <w:color w:val="0F4761" w:themeColor="accent1" w:themeShade="BF"/>
    </w:rPr>
  </w:style>
  <w:style w:type="character" w:styleId="IntenseReference">
    <w:name w:val="Intense Reference"/>
    <w:basedOn w:val="DefaultParagraphFont"/>
    <w:uiPriority w:val="32"/>
    <w:qFormat/>
    <w:rsid w:val="006F15F1"/>
    <w:rPr>
      <w:b/>
      <w:bCs/>
      <w:smallCaps/>
      <w:color w:val="0F4761" w:themeColor="accent1" w:themeShade="BF"/>
      <w:spacing w:val="5"/>
    </w:rPr>
  </w:style>
  <w:style w:type="character" w:styleId="Hyperlink">
    <w:name w:val="Hyperlink"/>
    <w:basedOn w:val="DefaultParagraphFont"/>
    <w:uiPriority w:val="99"/>
    <w:unhideWhenUsed/>
    <w:rsid w:val="006F15F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revisor.org/statutes/chapters/ch75/075_043_0017.html" TargetMode="External"/><Relationship Id="rId3" Type="http://schemas.openxmlformats.org/officeDocument/2006/relationships/webSettings" Target="webSettings.xml"/><Relationship Id="rId7" Type="http://schemas.openxmlformats.org/officeDocument/2006/relationships/hyperlink" Target="https://www.ksrevisor.gov/statutes/chapters/ch45/045_002_0016.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srevisor.org/statutes/chapters/ch75/075_043_0017.html" TargetMode="External"/><Relationship Id="rId11" Type="http://schemas.openxmlformats.org/officeDocument/2006/relationships/fontTable" Target="fontTable.xml"/><Relationship Id="rId5" Type="http://schemas.openxmlformats.org/officeDocument/2006/relationships/hyperlink" Target="https://www.ksrevisor.gov/statutes/chapters/ch45/045_002_0016.html" TargetMode="External"/><Relationship Id="rId10" Type="http://schemas.openxmlformats.org/officeDocument/2006/relationships/hyperlink" Target="https://ksbrc.org/wp-content/uploads/2025/07/KSBRC-Policy-Analysis-KORA-KOMA-update-7.10.pdf" TargetMode="External"/><Relationship Id="rId4" Type="http://schemas.openxmlformats.org/officeDocument/2006/relationships/image" Target="media/image1.png"/><Relationship Id="rId9" Type="http://schemas.openxmlformats.org/officeDocument/2006/relationships/hyperlink" Target="https://sentinelksmo.org/wp-content/uploads/2025/07/A-Citizens-Guide-to-Open-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Frederick</dc:creator>
  <cp:keywords/>
  <dc:description/>
  <cp:lastModifiedBy>Tracy Frederick</cp:lastModifiedBy>
  <cp:revision>1</cp:revision>
  <dcterms:created xsi:type="dcterms:W3CDTF">2025-09-11T19:13:00Z</dcterms:created>
  <dcterms:modified xsi:type="dcterms:W3CDTF">2025-09-11T19:16:00Z</dcterms:modified>
</cp:coreProperties>
</file>